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3DEB24" w14:textId="77777777" w:rsidR="009B2208" w:rsidRPr="003C0F48" w:rsidRDefault="00587BCE">
      <w:pPr>
        <w:rPr>
          <w:b/>
        </w:rPr>
      </w:pPr>
      <w:r w:rsidRPr="003C0F48">
        <w:rPr>
          <w:b/>
        </w:rPr>
        <w:t>An insightful day with FBF Industry Advisors</w:t>
      </w:r>
    </w:p>
    <w:p w14:paraId="03727563" w14:textId="77777777" w:rsidR="00E24622" w:rsidRPr="003C0F48" w:rsidRDefault="00E24622" w:rsidP="00E24622">
      <w:pPr>
        <w:jc w:val="both"/>
      </w:pPr>
      <w:r w:rsidRPr="003C0F48">
        <w:t>On Industry Advisory Panel Day, held by the Faculty of Business and Finance (FBF) at UTAR Kampar Campus on 7 March 2024, participants gained valuable insights into their prospective careers, offering them a glimpse into what lies ahead in the industry.</w:t>
      </w:r>
    </w:p>
    <w:p w14:paraId="590DF802" w14:textId="7416992F" w:rsidR="00F2695A" w:rsidRPr="003C0F48" w:rsidRDefault="00F2695A" w:rsidP="00613191">
      <w:pPr>
        <w:spacing w:line="276" w:lineRule="auto"/>
        <w:jc w:val="both"/>
      </w:pPr>
      <w:r w:rsidRPr="003C0F48">
        <w:t xml:space="preserve">The industry advisory panel consisted of Founder, Principal Trainer and Consultant of First Penguin Sdn Bhd Dr Wong Lai Yong; Obstetric Industry Advisor and Gynaecologist UD56, O&amp;G Department, Hospital Raja Permaisuri Bainun Ipoh Dr Loo Chee Voon; </w:t>
      </w:r>
      <w:r w:rsidR="00613191" w:rsidRPr="003C0F48">
        <w:t xml:space="preserve">Country Manager of Nuffnang Sdn Bhd </w:t>
      </w:r>
      <w:r w:rsidR="003C0F48" w:rsidRPr="003C0F48">
        <w:t xml:space="preserve">Mr </w:t>
      </w:r>
      <w:r w:rsidR="00613191" w:rsidRPr="003C0F48">
        <w:t xml:space="preserve">Hieu Kau Sern; Country Chief Risk Officer of OCBC Bank (M) Berhad </w:t>
      </w:r>
      <w:r w:rsidR="000B4035" w:rsidRPr="003C0F48">
        <w:t xml:space="preserve">Mr </w:t>
      </w:r>
      <w:r w:rsidR="00613191" w:rsidRPr="003C0F48">
        <w:t>Thor Boon Lee; and Principal of Y W Soo &amp; Co</w:t>
      </w:r>
      <w:r w:rsidR="000B4035" w:rsidRPr="003C0F48">
        <w:t xml:space="preserve"> Mr</w:t>
      </w:r>
      <w:r w:rsidR="00613191" w:rsidRPr="003C0F48">
        <w:t xml:space="preserve"> W</w:t>
      </w:r>
      <w:r w:rsidR="003C0F48" w:rsidRPr="003C0F48">
        <w:t>ill</w:t>
      </w:r>
      <w:r w:rsidR="00613191" w:rsidRPr="003C0F48">
        <w:t>iam Soo Yuit Weng.</w:t>
      </w:r>
    </w:p>
    <w:p w14:paraId="07F0428A" w14:textId="0EC9EB62" w:rsidR="00201E5E" w:rsidRPr="003C0F48" w:rsidRDefault="00201E5E" w:rsidP="00613191">
      <w:pPr>
        <w:spacing w:line="276" w:lineRule="auto"/>
        <w:jc w:val="both"/>
      </w:pPr>
      <w:r w:rsidRPr="003C0F48">
        <w:t>Present to welcome the panellists were FBF’s management committee, namely Dean Assoc Prof Dr Au Yong Hui Nee, Deputy Dean for R&amp;D and Postgraduate Programmes Prof Dr Abdelhak Senadjki, Deputy Dean for Academic Development and Undergraduate Programmes Dr Peter Tan Sin Howe,</w:t>
      </w:r>
      <w:r w:rsidR="00E461EB" w:rsidRPr="003C0F48">
        <w:t xml:space="preserve"> Deputy Dean for Student Development and Industrial Training Dr Kuah Yoke Chin, Doctor of Philosophy (Economics) Programme Head Dr Vikniswari Vija Kumaran, Postgraduate Programmes Head Assoc Prof Dr Leong Lai Ying, MBA (Corporate Management) Programme Head Dr Tan Chi Hau, Department of Finance Head Dr Lee Chee Loong, Department of Business and Public Administration</w:t>
      </w:r>
      <w:r w:rsidR="00FD131F" w:rsidRPr="003C0F48">
        <w:t xml:space="preserve"> Head</w:t>
      </w:r>
      <w:r w:rsidR="00E461EB" w:rsidRPr="003C0F48">
        <w:t xml:space="preserve"> Dr Siti Fazilah binti Abdul Shukor, Department of Banking and Risk Management</w:t>
      </w:r>
      <w:r w:rsidR="00FD131F" w:rsidRPr="003C0F48">
        <w:t xml:space="preserve"> Head</w:t>
      </w:r>
      <w:r w:rsidR="00E461EB" w:rsidRPr="003C0F48">
        <w:t xml:space="preserve"> </w:t>
      </w:r>
      <w:r w:rsidR="00B35B8D" w:rsidRPr="003C0F48">
        <w:t xml:space="preserve">Mr </w:t>
      </w:r>
      <w:r w:rsidR="00E461EB" w:rsidRPr="003C0F48">
        <w:t xml:space="preserve">Chong Tun Pin, Department of Marketing Head Dr Choy Johnn Yee, Department of Entrepreneurship and Supply Chain Management </w:t>
      </w:r>
      <w:r w:rsidR="00FD131F" w:rsidRPr="003C0F48">
        <w:t xml:space="preserve">Head </w:t>
      </w:r>
      <w:r w:rsidR="00E461EB" w:rsidRPr="003C0F48">
        <w:t xml:space="preserve">Dr Ng Yin Kuan, Department of Commerce and Accountancy </w:t>
      </w:r>
      <w:r w:rsidR="00FD131F" w:rsidRPr="003C0F48">
        <w:t xml:space="preserve">Head </w:t>
      </w:r>
      <w:r w:rsidR="00E461EB" w:rsidRPr="003C0F48">
        <w:t xml:space="preserve">Sonia Johanthan, and Department of Economics Head Dr Thavamalar Ganapathy. </w:t>
      </w:r>
    </w:p>
    <w:p w14:paraId="27356B7F" w14:textId="77777777" w:rsidR="00DF1D7D" w:rsidRPr="003C0F48" w:rsidRDefault="00DF1D7D" w:rsidP="00DF1D7D">
      <w:pPr>
        <w:jc w:val="center"/>
      </w:pPr>
      <w:r w:rsidRPr="003C0F48">
        <w:rPr>
          <w:noProof/>
          <w:lang w:eastAsia="en-GB"/>
        </w:rPr>
        <w:lastRenderedPageBreak/>
        <w:drawing>
          <wp:inline distT="0" distB="0" distL="0" distR="0" wp14:anchorId="788B896F" wp14:editId="1C244DD4">
            <wp:extent cx="3999230" cy="4723075"/>
            <wp:effectExtent l="0" t="0" r="1270" b="1905"/>
            <wp:docPr id="39772788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7727886" name="Picture 397727886"/>
                    <pic:cNvPicPr/>
                  </pic:nvPicPr>
                  <pic:blipFill>
                    <a:blip r:embed="rId5">
                      <a:extLst>
                        <a:ext uri="{28A0092B-C50C-407E-A947-70E740481C1C}">
                          <a14:useLocalDpi xmlns:a14="http://schemas.microsoft.com/office/drawing/2010/main" val="0"/>
                        </a:ext>
                      </a:extLst>
                    </a:blip>
                    <a:stretch>
                      <a:fillRect/>
                    </a:stretch>
                  </pic:blipFill>
                  <pic:spPr>
                    <a:xfrm>
                      <a:off x="0" y="0"/>
                      <a:ext cx="4061490" cy="4796604"/>
                    </a:xfrm>
                    <a:prstGeom prst="rect">
                      <a:avLst/>
                    </a:prstGeom>
                  </pic:spPr>
                </pic:pic>
              </a:graphicData>
            </a:graphic>
          </wp:inline>
        </w:drawing>
      </w:r>
    </w:p>
    <w:p w14:paraId="4769A5ED" w14:textId="43F3FF45" w:rsidR="00DF1D7D" w:rsidRPr="003C0F48" w:rsidRDefault="00FD131F" w:rsidP="00DF1D7D">
      <w:pPr>
        <w:jc w:val="center"/>
      </w:pPr>
      <w:r w:rsidRPr="003C0F48">
        <w:t xml:space="preserve">Mr </w:t>
      </w:r>
      <w:r w:rsidR="00DF1D7D" w:rsidRPr="003C0F48">
        <w:t xml:space="preserve">Thor highlighting the trends of </w:t>
      </w:r>
      <w:r w:rsidR="00810230" w:rsidRPr="003C0F48">
        <w:t xml:space="preserve">third-party </w:t>
      </w:r>
      <w:r w:rsidR="00DF1D7D" w:rsidRPr="003C0F48">
        <w:t>risk management</w:t>
      </w:r>
    </w:p>
    <w:p w14:paraId="3B0F572E" w14:textId="78A60B05" w:rsidR="00E11E01" w:rsidRPr="003C0F48" w:rsidRDefault="00E11E01" w:rsidP="00F70A99">
      <w:pPr>
        <w:spacing w:line="276" w:lineRule="auto"/>
        <w:jc w:val="both"/>
      </w:pPr>
      <w:r w:rsidRPr="003C0F48">
        <w:t xml:space="preserve">The highlights of the day were the talks delivered by the industry advisors, offering participants </w:t>
      </w:r>
      <w:r w:rsidR="00F72941" w:rsidRPr="003C0F48">
        <w:t xml:space="preserve">the </w:t>
      </w:r>
      <w:r w:rsidRPr="003C0F48">
        <w:t xml:space="preserve">latest information into the industry and tips to perform better at one’s job. </w:t>
      </w:r>
      <w:r w:rsidR="00F72941" w:rsidRPr="003C0F48">
        <w:t>The f</w:t>
      </w:r>
      <w:r w:rsidR="00130937" w:rsidRPr="003C0F48">
        <w:t xml:space="preserve">irst speaker, </w:t>
      </w:r>
      <w:r w:rsidR="00FD131F" w:rsidRPr="003C0F48">
        <w:t xml:space="preserve">Mr </w:t>
      </w:r>
      <w:r w:rsidR="00130937" w:rsidRPr="003C0F48">
        <w:t xml:space="preserve">Thor, </w:t>
      </w:r>
      <w:r w:rsidR="00A91AEE" w:rsidRPr="003C0F48">
        <w:t>emphasise</w:t>
      </w:r>
      <w:r w:rsidR="00FD131F" w:rsidRPr="003C0F48">
        <w:t>d</w:t>
      </w:r>
      <w:r w:rsidR="00A91AEE" w:rsidRPr="003C0F48">
        <w:t xml:space="preserve"> the significance of managing risks associated with third-party services in financial institutions, and the impacts of such risks on financial institutions through the safeguarding of confidential information, managing adverse effects on financial institution’s reputation, and maintaining public conf</w:t>
      </w:r>
      <w:r w:rsidR="00F70A99" w:rsidRPr="003C0F48">
        <w:t>idence in the financial syste</w:t>
      </w:r>
      <w:r w:rsidR="00F72941" w:rsidRPr="003C0F48">
        <w:t>m</w:t>
      </w:r>
      <w:r w:rsidR="00F70A99" w:rsidRPr="003C0F48">
        <w:t xml:space="preserve">. Strengthening his point, he presented </w:t>
      </w:r>
      <w:r w:rsidRPr="003C0F48">
        <w:t>examples of third-party services encompassing three main aspects</w:t>
      </w:r>
      <w:r w:rsidR="00F72941" w:rsidRPr="003C0F48">
        <w:t xml:space="preserve">, namely </w:t>
      </w:r>
      <w:r w:rsidRPr="003C0F48">
        <w:t xml:space="preserve">document processing, information system hosting and sales and marketing services.  </w:t>
      </w:r>
    </w:p>
    <w:p w14:paraId="569050A2" w14:textId="322229D5" w:rsidR="00470635" w:rsidRPr="003C0F48" w:rsidRDefault="00464002" w:rsidP="00470635">
      <w:pPr>
        <w:spacing w:line="276" w:lineRule="auto"/>
        <w:jc w:val="both"/>
      </w:pPr>
      <w:r w:rsidRPr="003C0F48">
        <w:t xml:space="preserve">Participants also gained </w:t>
      </w:r>
      <w:r w:rsidR="00F72941" w:rsidRPr="003C0F48">
        <w:t xml:space="preserve">an </w:t>
      </w:r>
      <w:r w:rsidRPr="003C0F48">
        <w:t>understanding o</w:t>
      </w:r>
      <w:r w:rsidR="00F72941" w:rsidRPr="003C0F48">
        <w:t>f</w:t>
      </w:r>
      <w:r w:rsidRPr="003C0F48">
        <w:t xml:space="preserve"> the important role played by the regulator (Malaysia and Singapore) in setting the policies outlining regulatory guidelines for financial institution</w:t>
      </w:r>
      <w:r w:rsidR="0035295F" w:rsidRPr="003C0F48">
        <w:t>s</w:t>
      </w:r>
      <w:r w:rsidRPr="003C0F48">
        <w:t xml:space="preserve"> on managing risk associated with outsourcing arrangement</w:t>
      </w:r>
      <w:r w:rsidR="0035295F" w:rsidRPr="003C0F48">
        <w:t>s</w:t>
      </w:r>
      <w:r w:rsidRPr="003C0F48">
        <w:t xml:space="preserve">; covering due diligence, data protection, compliance with legal and regulatory requirements; and ensuring the resilience of outsourced operations. </w:t>
      </w:r>
      <w:r w:rsidR="00470635" w:rsidRPr="003C0F48">
        <w:t xml:space="preserve">He also shared </w:t>
      </w:r>
      <w:r w:rsidR="00470635" w:rsidRPr="003C0F48">
        <w:rPr>
          <w:strike/>
        </w:rPr>
        <w:t>on</w:t>
      </w:r>
      <w:r w:rsidR="00470635" w:rsidRPr="003C0F48">
        <w:t xml:space="preserve"> the roles of respective key persons from various departmen</w:t>
      </w:r>
      <w:r w:rsidR="0035295F" w:rsidRPr="003C0F48">
        <w:t>ts</w:t>
      </w:r>
      <w:r w:rsidR="00470635" w:rsidRPr="003C0F48">
        <w:t xml:space="preserve">, such as information security, human resources, business continuity risk, technology, legal, regulatory compliance, and operational risk.   </w:t>
      </w:r>
    </w:p>
    <w:p w14:paraId="79723748" w14:textId="041C5215" w:rsidR="00E11E01" w:rsidRPr="003C0F48" w:rsidRDefault="001D7200" w:rsidP="00613191">
      <w:pPr>
        <w:spacing w:line="276" w:lineRule="auto"/>
        <w:jc w:val="both"/>
      </w:pPr>
      <w:r w:rsidRPr="003C0F48">
        <w:t xml:space="preserve">Mr </w:t>
      </w:r>
      <w:r w:rsidR="000D647E" w:rsidRPr="003C0F48">
        <w:t>Thor’s generous sharing imparted invaluable insights and best practices on effective management of third-party risks</w:t>
      </w:r>
      <w:r w:rsidRPr="003C0F48">
        <w:t>.</w:t>
      </w:r>
      <w:r w:rsidR="000D647E" w:rsidRPr="003C0F48">
        <w:t xml:space="preserve"> This included information on understanding t</w:t>
      </w:r>
      <w:r w:rsidR="00E11E01" w:rsidRPr="003C0F48">
        <w:t xml:space="preserve">he importance of conducting thorough due diligence and risk assessments when engaging third-party service providers, including </w:t>
      </w:r>
      <w:r w:rsidR="00E11E01" w:rsidRPr="003C0F48">
        <w:lastRenderedPageBreak/>
        <w:t>evaluating their financial stability, security measures, and regulatory compliance.</w:t>
      </w:r>
      <w:r w:rsidR="000D647E" w:rsidRPr="003C0F48">
        <w:t xml:space="preserve"> Additional information shared were the </w:t>
      </w:r>
      <w:r w:rsidR="0077109D" w:rsidRPr="003C0F48">
        <w:t>implementation</w:t>
      </w:r>
      <w:r w:rsidR="000D647E" w:rsidRPr="003C0F48">
        <w:t xml:space="preserve"> of </w:t>
      </w:r>
      <w:r w:rsidR="00E11E01" w:rsidRPr="003C0F48">
        <w:t>robust contract management processes to clearly define roles, responsibilities, and performance expectations, while also incorporating adequate provisions for risk mitigation, indemnif</w:t>
      </w:r>
      <w:r w:rsidR="000D647E" w:rsidRPr="003C0F48">
        <w:t>ication, and dispute resolution, as well as, e</w:t>
      </w:r>
      <w:r w:rsidR="00E11E01" w:rsidRPr="003C0F48">
        <w:t>stablishing proactive monitoring and oversight mechanisms to continuously assess third-party performance and compliance, including regular audits, performance reviews, and incident response protocols.</w:t>
      </w:r>
    </w:p>
    <w:p w14:paraId="2DBFBC98" w14:textId="77777777" w:rsidR="00ED62EC" w:rsidRPr="003C0F48" w:rsidRDefault="00ED62EC" w:rsidP="00ED62EC">
      <w:pPr>
        <w:spacing w:line="276" w:lineRule="auto"/>
        <w:jc w:val="center"/>
      </w:pPr>
      <w:r w:rsidRPr="003C0F48">
        <w:rPr>
          <w:noProof/>
          <w:lang w:eastAsia="en-GB"/>
        </w:rPr>
        <w:drawing>
          <wp:inline distT="0" distB="0" distL="0" distR="0" wp14:anchorId="37CA8413" wp14:editId="6F39A05F">
            <wp:extent cx="3927944" cy="5237259"/>
            <wp:effectExtent l="0" t="0" r="0" b="1905"/>
            <wp:docPr id="12" name="Picture 12" descr="C:\Users\choyjy\Desktop\IA Day (07032024)\Photo\17110795056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choyjy\Desktop\IA Day (07032024)\Photo\1711079505643.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951062" cy="5268083"/>
                    </a:xfrm>
                    <a:prstGeom prst="rect">
                      <a:avLst/>
                    </a:prstGeom>
                    <a:noFill/>
                    <a:ln>
                      <a:noFill/>
                    </a:ln>
                  </pic:spPr>
                </pic:pic>
              </a:graphicData>
            </a:graphic>
          </wp:inline>
        </w:drawing>
      </w:r>
    </w:p>
    <w:p w14:paraId="2FB2DB60" w14:textId="5DAC8EA6" w:rsidR="00ED62EC" w:rsidRPr="003C0F48" w:rsidRDefault="00222C0E" w:rsidP="00ED62EC">
      <w:pPr>
        <w:spacing w:line="276" w:lineRule="auto"/>
        <w:jc w:val="center"/>
      </w:pPr>
      <w:r w:rsidRPr="003C0F48">
        <w:t xml:space="preserve">Mr Hieu </w:t>
      </w:r>
      <w:r w:rsidR="00ED62EC" w:rsidRPr="003C0F48">
        <w:t>asking participants some questions</w:t>
      </w:r>
    </w:p>
    <w:p w14:paraId="7B96C8A3" w14:textId="2FF1353A" w:rsidR="00A05F6A" w:rsidRPr="003C0F48" w:rsidRDefault="00222C0E" w:rsidP="00A05F6A">
      <w:pPr>
        <w:spacing w:line="276" w:lineRule="auto"/>
        <w:jc w:val="both"/>
      </w:pPr>
      <w:r w:rsidRPr="003C0F48">
        <w:t xml:space="preserve">Mr </w:t>
      </w:r>
      <w:r w:rsidR="00B64263" w:rsidRPr="003C0F48">
        <w:t>Hieu</w:t>
      </w:r>
      <w:r w:rsidRPr="003C0F48">
        <w:t>, who</w:t>
      </w:r>
      <w:r w:rsidR="00B64263" w:rsidRPr="003C0F48">
        <w:t xml:space="preserve"> spoke on “What do Influencer Marketing Agencies Do?”</w:t>
      </w:r>
      <w:r w:rsidR="003C0F48" w:rsidRPr="003C0F48">
        <w:t xml:space="preserve">, </w:t>
      </w:r>
      <w:r w:rsidR="00B64263" w:rsidRPr="003C0F48">
        <w:t>through interactive and role</w:t>
      </w:r>
      <w:r w:rsidR="0035295F" w:rsidRPr="003C0F48">
        <w:t>-</w:t>
      </w:r>
      <w:r w:rsidR="00B64263" w:rsidRPr="003C0F48">
        <w:t>playing, provided participants</w:t>
      </w:r>
      <w:r w:rsidR="0035295F" w:rsidRPr="003C0F48">
        <w:t xml:space="preserve"> with</w:t>
      </w:r>
      <w:r w:rsidR="00B64263" w:rsidRPr="003C0F48">
        <w:t xml:space="preserve"> the basic understanding of influencer marketing</w:t>
      </w:r>
      <w:r w:rsidRPr="003C0F48">
        <w:t>.</w:t>
      </w:r>
      <w:r w:rsidR="00B64263" w:rsidRPr="003C0F48">
        <w:t xml:space="preserve"> He further shared the role of </w:t>
      </w:r>
      <w:r w:rsidR="0035295F" w:rsidRPr="003C0F48">
        <w:t xml:space="preserve">an </w:t>
      </w:r>
      <w:r w:rsidR="00B64263" w:rsidRPr="003C0F48">
        <w:t>influencer marketing agency, and the functions of different departments in the influencer marketing agency, as we</w:t>
      </w:r>
      <w:r w:rsidRPr="003C0F48">
        <w:t>ll</w:t>
      </w:r>
      <w:r w:rsidR="00B64263" w:rsidRPr="003C0F48">
        <w:t xml:space="preserve"> as the skills required in each department. </w:t>
      </w:r>
      <w:r w:rsidR="001D13F5" w:rsidRPr="003C0F48">
        <w:t>He spent a great time focusing on the interaction with participants and encouraged them to provide their feedback. Followed after was an interactive Q&amp;A session, that became an avenue for all to learn more about influencer marketing.</w:t>
      </w:r>
    </w:p>
    <w:p w14:paraId="629C2274" w14:textId="77777777" w:rsidR="003F10A2" w:rsidRPr="003C0F48" w:rsidRDefault="003F10A2" w:rsidP="003F10A2">
      <w:pPr>
        <w:spacing w:line="276" w:lineRule="auto"/>
        <w:jc w:val="center"/>
      </w:pPr>
      <w:r w:rsidRPr="003C0F48">
        <w:rPr>
          <w:rFonts w:ascii="Times New Roman" w:hAnsi="Times New Roman" w:cs="Times New Roman"/>
          <w:noProof/>
          <w:sz w:val="24"/>
          <w:szCs w:val="24"/>
          <w:lang w:eastAsia="en-GB"/>
        </w:rPr>
        <w:lastRenderedPageBreak/>
        <w:drawing>
          <wp:inline distT="0" distB="0" distL="0" distR="0" wp14:anchorId="10CA43B1" wp14:editId="3A93956C">
            <wp:extent cx="5730008" cy="4222143"/>
            <wp:effectExtent l="0" t="0" r="4445"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hatsApp Image 2024-03-11 at 1.14.44 PM.jpeg"/>
                    <pic:cNvPicPr/>
                  </pic:nvPicPr>
                  <pic:blipFill>
                    <a:blip r:embed="rId7">
                      <a:extLst>
                        <a:ext uri="{28A0092B-C50C-407E-A947-70E740481C1C}">
                          <a14:useLocalDpi xmlns:a14="http://schemas.microsoft.com/office/drawing/2010/main" val="0"/>
                        </a:ext>
                      </a:extLst>
                    </a:blip>
                    <a:stretch>
                      <a:fillRect/>
                    </a:stretch>
                  </pic:blipFill>
                  <pic:spPr>
                    <a:xfrm>
                      <a:off x="0" y="0"/>
                      <a:ext cx="5766556" cy="4249073"/>
                    </a:xfrm>
                    <a:prstGeom prst="rect">
                      <a:avLst/>
                    </a:prstGeom>
                  </pic:spPr>
                </pic:pic>
              </a:graphicData>
            </a:graphic>
          </wp:inline>
        </w:drawing>
      </w:r>
    </w:p>
    <w:p w14:paraId="1AE2A51E" w14:textId="77777777" w:rsidR="003F10A2" w:rsidRPr="003C0F48" w:rsidRDefault="003F10A2" w:rsidP="003F10A2">
      <w:pPr>
        <w:spacing w:line="276" w:lineRule="auto"/>
        <w:jc w:val="center"/>
      </w:pPr>
      <w:r w:rsidRPr="003C0F48">
        <w:t>Dr Wong asking participants for their feedback</w:t>
      </w:r>
    </w:p>
    <w:p w14:paraId="03E535BC" w14:textId="10FAC85F" w:rsidR="001064EA" w:rsidRPr="003C0F48" w:rsidRDefault="00A05F6A" w:rsidP="00A05F6A">
      <w:pPr>
        <w:spacing w:line="276" w:lineRule="auto"/>
        <w:jc w:val="both"/>
      </w:pPr>
      <w:r w:rsidRPr="003C0F48">
        <w:t xml:space="preserve">Through </w:t>
      </w:r>
      <w:r w:rsidR="009064A0" w:rsidRPr="003C0F48">
        <w:t xml:space="preserve">the </w:t>
      </w:r>
      <w:r w:rsidRPr="003C0F48">
        <w:t>2030 SDGs Game, Dr Wong provided</w:t>
      </w:r>
      <w:r w:rsidR="001064EA" w:rsidRPr="003C0F48">
        <w:t xml:space="preserve"> the participants </w:t>
      </w:r>
      <w:r w:rsidR="009064A0" w:rsidRPr="003C0F48">
        <w:t xml:space="preserve">with </w:t>
      </w:r>
      <w:r w:rsidR="001064EA" w:rsidRPr="003C0F48">
        <w:t xml:space="preserve">a better understanding </w:t>
      </w:r>
      <w:r w:rsidR="009064A0" w:rsidRPr="003C0F48">
        <w:t>of</w:t>
      </w:r>
      <w:r w:rsidR="001064EA" w:rsidRPr="003C0F48">
        <w:t xml:space="preserve"> the interconnectivity between economic activities, envir</w:t>
      </w:r>
      <w:r w:rsidRPr="003C0F48">
        <w:t>onment and social implications</w:t>
      </w:r>
      <w:r w:rsidR="009064A0" w:rsidRPr="003C0F48">
        <w:t xml:space="preserve">, highlighting how the escalation of economic activities often leads to environmental depletion, consequently impacting social welfare. </w:t>
      </w:r>
      <w:r w:rsidR="001064EA" w:rsidRPr="003C0F48">
        <w:t xml:space="preserve">The participants were </w:t>
      </w:r>
      <w:r w:rsidR="009064A0" w:rsidRPr="003C0F48">
        <w:t xml:space="preserve">each </w:t>
      </w:r>
      <w:r w:rsidR="001064EA" w:rsidRPr="003C0F48">
        <w:t>given a card</w:t>
      </w:r>
      <w:r w:rsidRPr="003C0F48">
        <w:t xml:space="preserve">, </w:t>
      </w:r>
      <w:r w:rsidR="001064EA" w:rsidRPr="003C0F48">
        <w:t>which indicate</w:t>
      </w:r>
      <w:r w:rsidR="009064A0" w:rsidRPr="003C0F48">
        <w:t>d</w:t>
      </w:r>
      <w:r w:rsidR="001064EA" w:rsidRPr="003C0F48">
        <w:t xml:space="preserve"> the goal they need</w:t>
      </w:r>
      <w:r w:rsidR="0035295F" w:rsidRPr="003C0F48">
        <w:t>ed</w:t>
      </w:r>
      <w:r w:rsidR="001064EA" w:rsidRPr="003C0F48">
        <w:t xml:space="preserve"> to achieve by 2030. </w:t>
      </w:r>
      <w:r w:rsidR="009064A0" w:rsidRPr="003C0F48">
        <w:t xml:space="preserve">The game consisted of two parts; the </w:t>
      </w:r>
      <w:r w:rsidR="001064EA" w:rsidRPr="003C0F48">
        <w:t>participants were requested to present the mid-term report and final report (2030).</w:t>
      </w:r>
    </w:p>
    <w:p w14:paraId="0B4B2BDE" w14:textId="77777777" w:rsidR="00CE3FFA" w:rsidRPr="003C0F48" w:rsidRDefault="00CE3FFA" w:rsidP="00CE3FFA">
      <w:pPr>
        <w:spacing w:line="276" w:lineRule="auto"/>
        <w:jc w:val="center"/>
      </w:pPr>
      <w:r w:rsidRPr="003C0F48">
        <w:rPr>
          <w:rFonts w:ascii="Times New Roman" w:hAnsi="Times New Roman" w:cs="Times New Roman"/>
          <w:noProof/>
          <w:sz w:val="24"/>
          <w:szCs w:val="24"/>
          <w:lang w:eastAsia="en-GB"/>
        </w:rPr>
        <w:lastRenderedPageBreak/>
        <w:drawing>
          <wp:inline distT="0" distB="0" distL="0" distR="0" wp14:anchorId="4AD82BF2" wp14:editId="621AC957">
            <wp:extent cx="3674028" cy="4222074"/>
            <wp:effectExtent l="0" t="0" r="3175"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689179" cy="4239485"/>
                    </a:xfrm>
                    <a:prstGeom prst="rect">
                      <a:avLst/>
                    </a:prstGeom>
                    <a:noFill/>
                    <a:ln>
                      <a:noFill/>
                    </a:ln>
                  </pic:spPr>
                </pic:pic>
              </a:graphicData>
            </a:graphic>
          </wp:inline>
        </w:drawing>
      </w:r>
    </w:p>
    <w:p w14:paraId="5DDE8A76" w14:textId="57914126" w:rsidR="00CE3FFA" w:rsidRPr="003C0F48" w:rsidRDefault="005219FC" w:rsidP="00CE3FFA">
      <w:pPr>
        <w:spacing w:line="276" w:lineRule="auto"/>
        <w:jc w:val="center"/>
      </w:pPr>
      <w:r w:rsidRPr="003C0F48">
        <w:t xml:space="preserve">Ms </w:t>
      </w:r>
      <w:r w:rsidR="00CE3FFA" w:rsidRPr="003C0F48">
        <w:t xml:space="preserve">Sonia presenting a token of appreciation to </w:t>
      </w:r>
      <w:r w:rsidRPr="003C0F48">
        <w:t xml:space="preserve">Mr </w:t>
      </w:r>
      <w:r w:rsidR="00CE3FFA" w:rsidRPr="003C0F48">
        <w:t>William Soo</w:t>
      </w:r>
    </w:p>
    <w:p w14:paraId="3D72AE27" w14:textId="1BE5958D" w:rsidR="0068090C" w:rsidRPr="003C0F48" w:rsidRDefault="0068090C" w:rsidP="006921C6">
      <w:pPr>
        <w:spacing w:line="276" w:lineRule="auto"/>
        <w:jc w:val="both"/>
      </w:pPr>
      <w:r w:rsidRPr="003C0F48">
        <w:t xml:space="preserve">The following day, </w:t>
      </w:r>
      <w:r w:rsidR="005219FC" w:rsidRPr="003C0F48">
        <w:t xml:space="preserve">Mr </w:t>
      </w:r>
      <w:r w:rsidRPr="003C0F48">
        <w:t xml:space="preserve">William Soo </w:t>
      </w:r>
      <w:r w:rsidR="005219FC" w:rsidRPr="003C0F48">
        <w:t xml:space="preserve">presented the </w:t>
      </w:r>
      <w:r w:rsidR="007A45FB" w:rsidRPr="003C0F48">
        <w:t xml:space="preserve">“Introduction to E-invoice”, which explained that the advancement of technology has transformed traditional practices in the dynamic realm of business. According to the speaker, Electronic invoicing (E-invoice) was implemented as one of the strategic thrusts for digital transformation in taxation, as well as an effort by the Malaysian </w:t>
      </w:r>
      <w:r w:rsidR="005219FC" w:rsidRPr="003C0F48">
        <w:t>g</w:t>
      </w:r>
      <w:r w:rsidR="007A45FB" w:rsidRPr="003C0F48">
        <w:t xml:space="preserve">overnment to foster the development of </w:t>
      </w:r>
      <w:r w:rsidR="0035295F" w:rsidRPr="003C0F48">
        <w:t xml:space="preserve">the </w:t>
      </w:r>
      <w:r w:rsidR="007A45FB" w:rsidRPr="003C0F48">
        <w:t xml:space="preserve">digital economy and improve </w:t>
      </w:r>
      <w:r w:rsidR="0035295F" w:rsidRPr="003C0F48">
        <w:t xml:space="preserve">the </w:t>
      </w:r>
      <w:r w:rsidR="007A45FB" w:rsidRPr="003C0F48">
        <w:t xml:space="preserve">efficiency of Malaysia’s tax administration management. </w:t>
      </w:r>
    </w:p>
    <w:p w14:paraId="738FED79" w14:textId="15BB2D35" w:rsidR="004629C5" w:rsidRPr="003C0F48" w:rsidRDefault="004629C5" w:rsidP="004629C5">
      <w:pPr>
        <w:spacing w:line="276" w:lineRule="auto"/>
        <w:jc w:val="both"/>
      </w:pPr>
      <w:r w:rsidRPr="003C0F48">
        <w:t>He further elucidated that the implementation of E-invoice aim</w:t>
      </w:r>
      <w:r w:rsidR="008449E1" w:rsidRPr="003C0F48">
        <w:t>ed</w:t>
      </w:r>
      <w:r w:rsidRPr="003C0F48">
        <w:t xml:space="preserve"> to unif</w:t>
      </w:r>
      <w:r w:rsidR="005219FC" w:rsidRPr="003C0F48">
        <w:t>y</w:t>
      </w:r>
      <w:r w:rsidRPr="003C0F48">
        <w:t xml:space="preserve"> the invoicing process </w:t>
      </w:r>
      <w:r w:rsidR="0035295F" w:rsidRPr="003C0F48">
        <w:t>by</w:t>
      </w:r>
      <w:r w:rsidRPr="003C0F48">
        <w:t xml:space="preserve"> streamlining the document creation and submission electronically to </w:t>
      </w:r>
      <w:r w:rsidR="0035295F" w:rsidRPr="003C0F48">
        <w:t xml:space="preserve">the </w:t>
      </w:r>
      <w:r w:rsidRPr="003C0F48">
        <w:t>Inland Revenue Board Malaysia (IRBM). It also aid</w:t>
      </w:r>
      <w:r w:rsidR="008449E1" w:rsidRPr="003C0F48">
        <w:t>ed</w:t>
      </w:r>
      <w:r w:rsidRPr="003C0F48">
        <w:t xml:space="preserve"> </w:t>
      </w:r>
      <w:r w:rsidR="0035295F" w:rsidRPr="003C0F48">
        <w:t>in enhancing</w:t>
      </w:r>
      <w:r w:rsidRPr="003C0F48">
        <w:t xml:space="preserve"> the transparency of </w:t>
      </w:r>
      <w:r w:rsidR="0035295F" w:rsidRPr="003C0F48">
        <w:t xml:space="preserve">the </w:t>
      </w:r>
      <w:r w:rsidRPr="003C0F48">
        <w:t>invoicing process and the accuracy of information transmission. He further explained that such practice also aids in reducing the shadow economy, prevent</w:t>
      </w:r>
      <w:r w:rsidR="0035295F" w:rsidRPr="003C0F48">
        <w:t>ing</w:t>
      </w:r>
      <w:r w:rsidRPr="003C0F48">
        <w:t xml:space="preserve"> tax fraud (detect</w:t>
      </w:r>
      <w:r w:rsidR="0035295F" w:rsidRPr="003C0F48">
        <w:t>ing</w:t>
      </w:r>
      <w:r w:rsidRPr="003C0F48">
        <w:t xml:space="preserve"> fake invoice</w:t>
      </w:r>
      <w:r w:rsidR="0035295F" w:rsidRPr="003C0F48">
        <w:t>s</w:t>
      </w:r>
      <w:r w:rsidRPr="003C0F48">
        <w:t>), and enhanc</w:t>
      </w:r>
      <w:r w:rsidR="0035295F" w:rsidRPr="003C0F48">
        <w:t>ing</w:t>
      </w:r>
      <w:r w:rsidRPr="003C0F48">
        <w:t xml:space="preserve"> tax compliance. </w:t>
      </w:r>
    </w:p>
    <w:p w14:paraId="73963CF4" w14:textId="367AD298" w:rsidR="004629C5" w:rsidRPr="003C0F48" w:rsidRDefault="004629C5" w:rsidP="001C2AAD">
      <w:pPr>
        <w:spacing w:line="276" w:lineRule="auto"/>
        <w:jc w:val="both"/>
      </w:pPr>
      <w:r w:rsidRPr="003C0F48">
        <w:t>Mr William</w:t>
      </w:r>
      <w:r w:rsidR="00D858F2" w:rsidRPr="003C0F48">
        <w:t xml:space="preserve"> Soo</w:t>
      </w:r>
      <w:r w:rsidRPr="003C0F48">
        <w:t xml:space="preserve"> also enlightened the participants on different cases with the E-invoice mechanisms and requirement</w:t>
      </w:r>
      <w:r w:rsidR="0035295F" w:rsidRPr="003C0F48">
        <w:t>s</w:t>
      </w:r>
      <w:r w:rsidRPr="003C0F48">
        <w:t>, such a</w:t>
      </w:r>
      <w:r w:rsidR="00E66EAB" w:rsidRPr="003C0F48">
        <w:t>s s</w:t>
      </w:r>
      <w:r w:rsidRPr="003C0F48">
        <w:t>elf-billed invoice</w:t>
      </w:r>
      <w:r w:rsidR="00C7462F" w:rsidRPr="003C0F48">
        <w:t>s</w:t>
      </w:r>
      <w:r w:rsidRPr="003C0F48">
        <w:t xml:space="preserve"> used in cross border transaction</w:t>
      </w:r>
      <w:r w:rsidR="00C7462F" w:rsidRPr="003C0F48">
        <w:t>s</w:t>
      </w:r>
      <w:r w:rsidRPr="003C0F48">
        <w:t xml:space="preserve"> where it involved foreign suppliers; </w:t>
      </w:r>
      <w:r w:rsidR="00E66EAB" w:rsidRPr="003C0F48">
        <w:t>i</w:t>
      </w:r>
      <w:r w:rsidRPr="003C0F48">
        <w:t>tems that required</w:t>
      </w:r>
      <w:r w:rsidR="00E66EAB" w:rsidRPr="003C0F48">
        <w:t xml:space="preserve"> E-invoice for each transaction, for instance</w:t>
      </w:r>
      <w:r w:rsidR="00C7462F" w:rsidRPr="003C0F48">
        <w:t>,</w:t>
      </w:r>
      <w:r w:rsidRPr="003C0F48">
        <w:t xml:space="preserve"> motor vehicle</w:t>
      </w:r>
      <w:r w:rsidR="00C7462F" w:rsidRPr="003C0F48">
        <w:t>s</w:t>
      </w:r>
      <w:r w:rsidRPr="003C0F48">
        <w:t>, flight ticket</w:t>
      </w:r>
      <w:r w:rsidR="00C7462F" w:rsidRPr="003C0F48">
        <w:t>s</w:t>
      </w:r>
      <w:r w:rsidRPr="003C0F48">
        <w:t>, luxury goods, construction, licensed betting and gaming, and payment to d</w:t>
      </w:r>
      <w:r w:rsidR="00E66EAB" w:rsidRPr="003C0F48">
        <w:t>ealers, agents, or distributors; and lastly, e</w:t>
      </w:r>
      <w:r w:rsidRPr="003C0F48">
        <w:t>xempt</w:t>
      </w:r>
      <w:r w:rsidR="00E66EAB" w:rsidRPr="003C0F48">
        <w:t>ion from implementing e-invoice, especially for</w:t>
      </w:r>
      <w:r w:rsidRPr="003C0F48">
        <w:t xml:space="preserve"> Ruler and Ruling Chief, Government, state authority, Statutory body,</w:t>
      </w:r>
      <w:r w:rsidR="00D858F2" w:rsidRPr="003C0F48">
        <w:t xml:space="preserve"> and</w:t>
      </w:r>
      <w:r w:rsidRPr="003C0F48">
        <w:t xml:space="preserve"> individual who </w:t>
      </w:r>
      <w:r w:rsidR="00D858F2" w:rsidRPr="003C0F48">
        <w:t>does</w:t>
      </w:r>
      <w:r w:rsidR="00E66EAB" w:rsidRPr="003C0F48">
        <w:t xml:space="preserve"> not conduct business.</w:t>
      </w:r>
    </w:p>
    <w:p w14:paraId="65AD6289" w14:textId="0DDE4E5C" w:rsidR="007A45FB" w:rsidRPr="00A32313" w:rsidRDefault="00A32313" w:rsidP="00A32313">
      <w:pPr>
        <w:spacing w:line="276" w:lineRule="auto"/>
        <w:jc w:val="both"/>
      </w:pPr>
      <w:r w:rsidRPr="003C0F48">
        <w:t xml:space="preserve">Course leader and FBF academic Dr Annie Ng Cheng San, commented, </w:t>
      </w:r>
      <w:r w:rsidR="007A45FB" w:rsidRPr="003C0F48">
        <w:t xml:space="preserve">“To propel Malaysia’s tax system, </w:t>
      </w:r>
      <w:r w:rsidR="00C7462F" w:rsidRPr="003C0F48">
        <w:t xml:space="preserve">the </w:t>
      </w:r>
      <w:r w:rsidR="007A45FB" w:rsidRPr="003C0F48">
        <w:t xml:space="preserve">government is now gearing up for a tax reform to gradually implement the E-invoice and it will become mandatory for all businesses regardless </w:t>
      </w:r>
      <w:r w:rsidR="00C7462F" w:rsidRPr="003C0F48">
        <w:t xml:space="preserve">of </w:t>
      </w:r>
      <w:r w:rsidR="007A45FB" w:rsidRPr="003C0F48">
        <w:t>the turnover effective from July 2025. E-</w:t>
      </w:r>
      <w:r w:rsidR="007A45FB" w:rsidRPr="003C0F48">
        <w:lastRenderedPageBreak/>
        <w:t>invoice is a new era of tax administration. To guarantee its success, it is important to ensure the stakeholders are aware and ready for E-invoice adoption. It was against this ba</w:t>
      </w:r>
      <w:r w:rsidRPr="003C0F48">
        <w:t>ckdrop that the talk was organis</w:t>
      </w:r>
      <w:r w:rsidR="007A45FB" w:rsidRPr="003C0F48">
        <w:t>ed.”</w:t>
      </w:r>
      <w:bookmarkStart w:id="0" w:name="_GoBack"/>
      <w:bookmarkEnd w:id="0"/>
      <w:r w:rsidR="007A45FB" w:rsidRPr="00A32313">
        <w:t xml:space="preserve">   </w:t>
      </w:r>
    </w:p>
    <w:p w14:paraId="47AA1263" w14:textId="77777777" w:rsidR="007A45FB" w:rsidRPr="00A05F6A" w:rsidRDefault="007A45FB" w:rsidP="00A05F6A">
      <w:pPr>
        <w:spacing w:line="276" w:lineRule="auto"/>
        <w:jc w:val="both"/>
      </w:pPr>
    </w:p>
    <w:p w14:paraId="62903A07" w14:textId="77777777" w:rsidR="001064EA" w:rsidRDefault="001064EA" w:rsidP="00B64263">
      <w:pPr>
        <w:spacing w:line="276" w:lineRule="auto"/>
        <w:jc w:val="both"/>
      </w:pPr>
    </w:p>
    <w:p w14:paraId="520F051E" w14:textId="77777777" w:rsidR="00F2695A" w:rsidRPr="00F2695A" w:rsidRDefault="00F2695A"/>
    <w:p w14:paraId="2544434A" w14:textId="77777777" w:rsidR="008B1C19" w:rsidRPr="00F2695A" w:rsidRDefault="008B1C19"/>
    <w:p w14:paraId="46D63D3B" w14:textId="77777777" w:rsidR="008B1C19" w:rsidRPr="00F2695A" w:rsidRDefault="008B1C19"/>
    <w:p w14:paraId="23F7E7FD" w14:textId="77777777" w:rsidR="006921C6" w:rsidRPr="00F2695A" w:rsidRDefault="006921C6"/>
    <w:sectPr w:rsidR="006921C6" w:rsidRPr="00F2695A">
      <w:pgSz w:w="11906" w:h="16838"/>
      <w:pgMar w:top="1440" w:right="1440" w:bottom="1440" w:left="144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BB240EA" w16cid:durableId="29AD6399"/>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71409"/>
    <w:multiLevelType w:val="multilevel"/>
    <w:tmpl w:val="908CB6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DF61EBD"/>
    <w:multiLevelType w:val="hybridMultilevel"/>
    <w:tmpl w:val="BBAE87AA"/>
    <w:lvl w:ilvl="0" w:tplc="44090001">
      <w:start w:val="1"/>
      <w:numFmt w:val="bullet"/>
      <w:lvlText w:val=""/>
      <w:lvlJc w:val="left"/>
      <w:pPr>
        <w:ind w:left="774" w:hanging="360"/>
      </w:pPr>
      <w:rPr>
        <w:rFonts w:ascii="Symbol" w:hAnsi="Symbol" w:hint="default"/>
      </w:rPr>
    </w:lvl>
    <w:lvl w:ilvl="1" w:tplc="44090003" w:tentative="1">
      <w:start w:val="1"/>
      <w:numFmt w:val="bullet"/>
      <w:lvlText w:val="o"/>
      <w:lvlJc w:val="left"/>
      <w:pPr>
        <w:ind w:left="1494" w:hanging="360"/>
      </w:pPr>
      <w:rPr>
        <w:rFonts w:ascii="Courier New" w:hAnsi="Courier New" w:cs="Courier New" w:hint="default"/>
      </w:rPr>
    </w:lvl>
    <w:lvl w:ilvl="2" w:tplc="44090005" w:tentative="1">
      <w:start w:val="1"/>
      <w:numFmt w:val="bullet"/>
      <w:lvlText w:val=""/>
      <w:lvlJc w:val="left"/>
      <w:pPr>
        <w:ind w:left="2214" w:hanging="360"/>
      </w:pPr>
      <w:rPr>
        <w:rFonts w:ascii="Wingdings" w:hAnsi="Wingdings" w:hint="default"/>
      </w:rPr>
    </w:lvl>
    <w:lvl w:ilvl="3" w:tplc="44090001" w:tentative="1">
      <w:start w:val="1"/>
      <w:numFmt w:val="bullet"/>
      <w:lvlText w:val=""/>
      <w:lvlJc w:val="left"/>
      <w:pPr>
        <w:ind w:left="2934" w:hanging="360"/>
      </w:pPr>
      <w:rPr>
        <w:rFonts w:ascii="Symbol" w:hAnsi="Symbol" w:hint="default"/>
      </w:rPr>
    </w:lvl>
    <w:lvl w:ilvl="4" w:tplc="44090003" w:tentative="1">
      <w:start w:val="1"/>
      <w:numFmt w:val="bullet"/>
      <w:lvlText w:val="o"/>
      <w:lvlJc w:val="left"/>
      <w:pPr>
        <w:ind w:left="3654" w:hanging="360"/>
      </w:pPr>
      <w:rPr>
        <w:rFonts w:ascii="Courier New" w:hAnsi="Courier New" w:cs="Courier New" w:hint="default"/>
      </w:rPr>
    </w:lvl>
    <w:lvl w:ilvl="5" w:tplc="44090005" w:tentative="1">
      <w:start w:val="1"/>
      <w:numFmt w:val="bullet"/>
      <w:lvlText w:val=""/>
      <w:lvlJc w:val="left"/>
      <w:pPr>
        <w:ind w:left="4374" w:hanging="360"/>
      </w:pPr>
      <w:rPr>
        <w:rFonts w:ascii="Wingdings" w:hAnsi="Wingdings" w:hint="default"/>
      </w:rPr>
    </w:lvl>
    <w:lvl w:ilvl="6" w:tplc="44090001" w:tentative="1">
      <w:start w:val="1"/>
      <w:numFmt w:val="bullet"/>
      <w:lvlText w:val=""/>
      <w:lvlJc w:val="left"/>
      <w:pPr>
        <w:ind w:left="5094" w:hanging="360"/>
      </w:pPr>
      <w:rPr>
        <w:rFonts w:ascii="Symbol" w:hAnsi="Symbol" w:hint="default"/>
      </w:rPr>
    </w:lvl>
    <w:lvl w:ilvl="7" w:tplc="44090003" w:tentative="1">
      <w:start w:val="1"/>
      <w:numFmt w:val="bullet"/>
      <w:lvlText w:val="o"/>
      <w:lvlJc w:val="left"/>
      <w:pPr>
        <w:ind w:left="5814" w:hanging="360"/>
      </w:pPr>
      <w:rPr>
        <w:rFonts w:ascii="Courier New" w:hAnsi="Courier New" w:cs="Courier New" w:hint="default"/>
      </w:rPr>
    </w:lvl>
    <w:lvl w:ilvl="8" w:tplc="44090005" w:tentative="1">
      <w:start w:val="1"/>
      <w:numFmt w:val="bullet"/>
      <w:lvlText w:val=""/>
      <w:lvlJc w:val="left"/>
      <w:pPr>
        <w:ind w:left="6534" w:hanging="360"/>
      </w:pPr>
      <w:rPr>
        <w:rFonts w:ascii="Wingdings" w:hAnsi="Wingdings" w:hint="default"/>
      </w:rPr>
    </w:lvl>
  </w:abstractNum>
  <w:abstractNum w:abstractNumId="2" w15:restartNumberingAfterBreak="0">
    <w:nsid w:val="6130413F"/>
    <w:multiLevelType w:val="hybridMultilevel"/>
    <w:tmpl w:val="B04CC700"/>
    <w:lvl w:ilvl="0" w:tplc="4409000F">
      <w:start w:val="1"/>
      <w:numFmt w:val="decimal"/>
      <w:lvlText w:val="%1."/>
      <w:lvlJc w:val="left"/>
      <w:pPr>
        <w:ind w:left="720" w:hanging="360"/>
      </w:pPr>
    </w:lvl>
    <w:lvl w:ilvl="1" w:tplc="ED382652">
      <w:start w:val="1"/>
      <w:numFmt w:val="decimal"/>
      <w:lvlText w:val="%2)"/>
      <w:lvlJc w:val="left"/>
      <w:pPr>
        <w:ind w:left="1440" w:hanging="360"/>
      </w:pPr>
      <w:rPr>
        <w:rFonts w:hint="default"/>
      </w:r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3" w15:restartNumberingAfterBreak="0">
    <w:nsid w:val="7A776B04"/>
    <w:multiLevelType w:val="hybridMultilevel"/>
    <w:tmpl w:val="A9AE075A"/>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7BCE"/>
    <w:rsid w:val="000A16CB"/>
    <w:rsid w:val="000B4035"/>
    <w:rsid w:val="000C5ECE"/>
    <w:rsid w:val="000D647E"/>
    <w:rsid w:val="001064EA"/>
    <w:rsid w:val="00130937"/>
    <w:rsid w:val="0014583F"/>
    <w:rsid w:val="001C2AAD"/>
    <w:rsid w:val="001D13F5"/>
    <w:rsid w:val="001D7200"/>
    <w:rsid w:val="001E2790"/>
    <w:rsid w:val="00201E5E"/>
    <w:rsid w:val="00222C0E"/>
    <w:rsid w:val="0035295F"/>
    <w:rsid w:val="003A031B"/>
    <w:rsid w:val="003C0F48"/>
    <w:rsid w:val="003F10A2"/>
    <w:rsid w:val="004629C5"/>
    <w:rsid w:val="00464002"/>
    <w:rsid w:val="00470635"/>
    <w:rsid w:val="004E04B5"/>
    <w:rsid w:val="005219FC"/>
    <w:rsid w:val="00587BCE"/>
    <w:rsid w:val="005F2195"/>
    <w:rsid w:val="006040FC"/>
    <w:rsid w:val="00613191"/>
    <w:rsid w:val="00665148"/>
    <w:rsid w:val="00666C9E"/>
    <w:rsid w:val="0068090C"/>
    <w:rsid w:val="006921C6"/>
    <w:rsid w:val="00732CF6"/>
    <w:rsid w:val="0077109D"/>
    <w:rsid w:val="007A45FB"/>
    <w:rsid w:val="007F1BD9"/>
    <w:rsid w:val="00810230"/>
    <w:rsid w:val="008449E1"/>
    <w:rsid w:val="00867C2D"/>
    <w:rsid w:val="00887596"/>
    <w:rsid w:val="008B1C19"/>
    <w:rsid w:val="009064A0"/>
    <w:rsid w:val="00927E37"/>
    <w:rsid w:val="009B2208"/>
    <w:rsid w:val="009C7D9A"/>
    <w:rsid w:val="00A05F6A"/>
    <w:rsid w:val="00A32313"/>
    <w:rsid w:val="00A84E92"/>
    <w:rsid w:val="00A91AEE"/>
    <w:rsid w:val="00AB3FCC"/>
    <w:rsid w:val="00B35B8D"/>
    <w:rsid w:val="00B64263"/>
    <w:rsid w:val="00BB6F5F"/>
    <w:rsid w:val="00C7462F"/>
    <w:rsid w:val="00CE3FFA"/>
    <w:rsid w:val="00D858F2"/>
    <w:rsid w:val="00DF1D7D"/>
    <w:rsid w:val="00E11E01"/>
    <w:rsid w:val="00E24622"/>
    <w:rsid w:val="00E461EB"/>
    <w:rsid w:val="00E66EAB"/>
    <w:rsid w:val="00EB0E54"/>
    <w:rsid w:val="00ED62EC"/>
    <w:rsid w:val="00F2695A"/>
    <w:rsid w:val="00F70A99"/>
    <w:rsid w:val="00F72941"/>
    <w:rsid w:val="00FB0105"/>
    <w:rsid w:val="00FB0A9F"/>
    <w:rsid w:val="00FD13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291E27"/>
  <w15:chartTrackingRefBased/>
  <w15:docId w15:val="{581EB56D-95DE-4EBF-829F-7B9CE4459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2695A"/>
    <w:pPr>
      <w:spacing w:after="0" w:line="240" w:lineRule="auto"/>
      <w:ind w:left="720"/>
      <w:contextualSpacing/>
    </w:pPr>
    <w:rPr>
      <w:lang w:val="en-US"/>
    </w:rPr>
  </w:style>
  <w:style w:type="character" w:styleId="CommentReference">
    <w:name w:val="annotation reference"/>
    <w:basedOn w:val="DefaultParagraphFont"/>
    <w:uiPriority w:val="99"/>
    <w:semiHidden/>
    <w:unhideWhenUsed/>
    <w:rsid w:val="000B4035"/>
    <w:rPr>
      <w:sz w:val="16"/>
      <w:szCs w:val="16"/>
    </w:rPr>
  </w:style>
  <w:style w:type="paragraph" w:styleId="CommentText">
    <w:name w:val="annotation text"/>
    <w:basedOn w:val="Normal"/>
    <w:link w:val="CommentTextChar"/>
    <w:uiPriority w:val="99"/>
    <w:semiHidden/>
    <w:unhideWhenUsed/>
    <w:rsid w:val="000B4035"/>
    <w:pPr>
      <w:spacing w:line="240" w:lineRule="auto"/>
    </w:pPr>
    <w:rPr>
      <w:sz w:val="20"/>
      <w:szCs w:val="20"/>
    </w:rPr>
  </w:style>
  <w:style w:type="character" w:customStyle="1" w:styleId="CommentTextChar">
    <w:name w:val="Comment Text Char"/>
    <w:basedOn w:val="DefaultParagraphFont"/>
    <w:link w:val="CommentText"/>
    <w:uiPriority w:val="99"/>
    <w:semiHidden/>
    <w:rsid w:val="000B4035"/>
    <w:rPr>
      <w:sz w:val="20"/>
      <w:szCs w:val="20"/>
    </w:rPr>
  </w:style>
  <w:style w:type="paragraph" w:styleId="CommentSubject">
    <w:name w:val="annotation subject"/>
    <w:basedOn w:val="CommentText"/>
    <w:next w:val="CommentText"/>
    <w:link w:val="CommentSubjectChar"/>
    <w:uiPriority w:val="99"/>
    <w:semiHidden/>
    <w:unhideWhenUsed/>
    <w:rsid w:val="000B4035"/>
    <w:rPr>
      <w:b/>
      <w:bCs/>
    </w:rPr>
  </w:style>
  <w:style w:type="character" w:customStyle="1" w:styleId="CommentSubjectChar">
    <w:name w:val="Comment Subject Char"/>
    <w:basedOn w:val="CommentTextChar"/>
    <w:link w:val="CommentSubject"/>
    <w:uiPriority w:val="99"/>
    <w:semiHidden/>
    <w:rsid w:val="000B4035"/>
    <w:rPr>
      <w:b/>
      <w:bCs/>
      <w:sz w:val="20"/>
      <w:szCs w:val="20"/>
    </w:rPr>
  </w:style>
  <w:style w:type="paragraph" w:styleId="BalloonText">
    <w:name w:val="Balloon Text"/>
    <w:basedOn w:val="Normal"/>
    <w:link w:val="BalloonTextChar"/>
    <w:uiPriority w:val="99"/>
    <w:semiHidden/>
    <w:unhideWhenUsed/>
    <w:rsid w:val="000B403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403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microsoft.com/office/2016/09/relationships/commentsIds" Target="commentsIds.xm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635</TotalTime>
  <Pages>6</Pages>
  <Words>1109</Words>
  <Characters>6325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Gooi Sze Wei</dc:creator>
  <cp:keywords/>
  <dc:description/>
  <cp:lastModifiedBy>Gooi Sze Wei</cp:lastModifiedBy>
  <cp:revision>74</cp:revision>
  <dcterms:created xsi:type="dcterms:W3CDTF">2024-03-22T07:20:00Z</dcterms:created>
  <dcterms:modified xsi:type="dcterms:W3CDTF">2024-03-29T01:13:00Z</dcterms:modified>
</cp:coreProperties>
</file>